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Georgia" w:hAnsi="Georgia"/>
          <w:i/>
          <w:iCs/>
          <w:sz w:val="22"/>
          <w:szCs w:val="22"/>
        </w:rPr>
      </w:pPr>
      <w:bookmarkStart w:id="0" w:name="_GoBack"/>
      <w:bookmarkEnd w:id="0"/>
    </w:p>
    <w:p>
      <w:pPr>
        <w:spacing w:line="276" w:lineRule="auto"/>
        <w:rPr>
          <w:rFonts w:ascii="Georgia" w:hAnsi="Georgia" w:eastAsia="Georgia" w:cs="Georgia"/>
          <w:i/>
          <w:iCs/>
          <w:sz w:val="22"/>
          <w:szCs w:val="22"/>
        </w:rPr>
      </w:pPr>
      <w:r>
        <w:rPr>
          <w:rFonts w:hint="default" w:ascii="Georgia" w:hAnsi="Georgia"/>
          <w:i/>
          <w:iCs/>
          <w:sz w:val="22"/>
          <w:szCs w:val="22"/>
          <w:lang w:val="en-US"/>
        </w:rPr>
        <w:t>Press release</w:t>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 xml:space="preserve">           </w:t>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 xml:space="preserve">       </w:t>
      </w:r>
      <w:r>
        <w:rPr>
          <w:rFonts w:hint="default" w:ascii="Georgia" w:hAnsi="Georgia"/>
          <w:i/>
          <w:iCs/>
          <w:sz w:val="22"/>
          <w:szCs w:val="22"/>
          <w:lang w:val="en-US"/>
        </w:rPr>
        <w:t xml:space="preserve">    July 21, </w:t>
      </w:r>
      <w:r>
        <w:rPr>
          <w:rFonts w:ascii="Georgia" w:hAnsi="Georgia"/>
          <w:i/>
          <w:iCs/>
          <w:sz w:val="22"/>
          <w:szCs w:val="22"/>
        </w:rPr>
        <w:t>2020</w:t>
      </w:r>
    </w:p>
    <w:p>
      <w:pPr>
        <w:spacing w:line="276" w:lineRule="auto"/>
        <w:rPr>
          <w:rFonts w:ascii="Georgia" w:hAnsi="Georgia" w:eastAsia="Georgia" w:cs="Georgia"/>
          <w:b/>
          <w:bCs/>
          <w:sz w:val="32"/>
          <w:szCs w:val="32"/>
        </w:rPr>
      </w:pPr>
    </w:p>
    <w:p>
      <w:pPr>
        <w:spacing w:line="276" w:lineRule="auto"/>
        <w:jc w:val="center"/>
        <w:rPr>
          <w:rFonts w:ascii="Georgia" w:hAnsi="Georgia" w:eastAsia="Georgia" w:cs="Georgia"/>
          <w:b/>
          <w:bCs/>
          <w:sz w:val="32"/>
          <w:szCs w:val="32"/>
        </w:rPr>
      </w:pPr>
    </w:p>
    <w:p>
      <w:pPr>
        <w:spacing w:line="276" w:lineRule="auto"/>
        <w:jc w:val="center"/>
        <w:rPr>
          <w:rFonts w:cs="Times New Roman"/>
          <w:b/>
          <w:sz w:val="32"/>
          <w:szCs w:val="28"/>
        </w:rPr>
      </w:pPr>
      <w:r>
        <w:rPr>
          <w:rFonts w:hint="default" w:cs="Times New Roman"/>
          <w:b/>
          <w:sz w:val="32"/>
          <w:szCs w:val="28"/>
          <w:lang w:val="en-US"/>
        </w:rPr>
        <w:t xml:space="preserve">Tashir opens a new Family Room </w:t>
      </w:r>
      <w:r>
        <w:rPr>
          <w:rFonts w:hint="default" w:cs="Times New Roman"/>
          <w:b/>
          <w:sz w:val="32"/>
          <w:szCs w:val="28"/>
          <w:lang w:val="en-US"/>
        </w:rPr>
        <w:br w:type="textWrapping"/>
      </w:r>
      <w:r>
        <w:rPr>
          <w:rFonts w:hint="default" w:cs="Times New Roman"/>
          <w:b/>
          <w:sz w:val="32"/>
          <w:szCs w:val="28"/>
          <w:lang w:val="en-US"/>
        </w:rPr>
        <w:t>furniture center in Arkhangelsk</w:t>
      </w:r>
    </w:p>
    <w:p>
      <w:pPr>
        <w:spacing w:line="276" w:lineRule="auto"/>
        <w:jc w:val="center"/>
        <w:rPr>
          <w:rFonts w:eastAsia="Georgia" w:cs="Times New Roman"/>
          <w:b/>
          <w:bCs/>
          <w:sz w:val="32"/>
          <w:szCs w:val="32"/>
        </w:rPr>
      </w:pPr>
    </w:p>
    <w:p>
      <w:pPr>
        <w:spacing w:line="276" w:lineRule="auto"/>
        <w:jc w:val="both"/>
        <w:rPr>
          <w:rFonts w:cs="Times New Roman"/>
        </w:rPr>
      </w:pPr>
    </w:p>
    <w:p>
      <w:pPr>
        <w:spacing w:line="276" w:lineRule="auto"/>
        <w:jc w:val="both"/>
        <w:rPr>
          <w:rFonts w:cs="Times New Roman"/>
          <w:bCs/>
        </w:rPr>
      </w:pPr>
      <w:r>
        <w:rPr>
          <w:rFonts w:hint="default" w:cs="Times New Roman"/>
          <w:bCs/>
          <w:lang w:val="en-US"/>
        </w:rPr>
        <w:t>Tashir Group has opened a new furniture center of the nationwide Family Room chain in Arkhangelsk. It is one of the largest furniture complexes in the region.</w:t>
      </w:r>
    </w:p>
    <w:p>
      <w:pPr>
        <w:spacing w:line="276" w:lineRule="auto"/>
        <w:jc w:val="both"/>
        <w:rPr>
          <w:rFonts w:cs="Times New Roman"/>
          <w:bCs/>
        </w:rPr>
      </w:pPr>
    </w:p>
    <w:p>
      <w:pPr>
        <w:spacing w:line="276" w:lineRule="auto"/>
        <w:jc w:val="both"/>
        <w:rPr>
          <w:rFonts w:hint="default" w:cs="Times New Roman"/>
          <w:bCs/>
          <w:lang w:val="en-US"/>
        </w:rPr>
      </w:pPr>
      <w:r>
        <w:rPr>
          <w:rFonts w:hint="default" w:cs="Times New Roman"/>
          <w:bCs/>
          <w:lang w:val="en-US"/>
        </w:rPr>
        <w:t>The new Family Room is a result of developing the RIO shopping mall in Arkhangelsk. The total area of the two-story furniture complex is 26,000 square meters, which makes it one of the largest centers in Arkhangelsk. The center is located at 10 Rosing Street and offers the products of popular furniture manufacturers, household goods and designer studio services. Family Room has a broad range of products in various price segments. Tenants include Lazurit, Ormatek, Angstrom and other Russian and international brands. The two-story complex includes also a Maxi grocery store, a Cinema Star multiplex, a DNS consumer electronics store, a Detsky Mir children’s retailer and a food court. For visitors’ convenience, the center has a free parking lot for 500 cars.</w:t>
      </w:r>
    </w:p>
    <w:p>
      <w:pPr>
        <w:spacing w:line="276" w:lineRule="auto"/>
        <w:jc w:val="both"/>
        <w:rPr>
          <w:rFonts w:cs="Times New Roman"/>
          <w:bCs/>
        </w:rPr>
      </w:pPr>
    </w:p>
    <w:p>
      <w:pPr>
        <w:spacing w:line="276" w:lineRule="auto"/>
        <w:jc w:val="both"/>
        <w:rPr>
          <w:rFonts w:hint="default" w:cs="Times New Roman"/>
          <w:bCs/>
          <w:lang w:val="en-US"/>
        </w:rPr>
      </w:pPr>
      <w:r>
        <w:rPr>
          <w:rFonts w:hint="default" w:cs="Times New Roman"/>
          <w:bCs/>
          <w:lang w:val="en-US"/>
        </w:rPr>
        <w:t>The Arkhangelsk store is the fifth in the Family Room chain. Currently, there are three stores in Moscow – one at the 23</w:t>
      </w:r>
      <w:r>
        <w:rPr>
          <w:rFonts w:hint="default" w:cs="Times New Roman"/>
          <w:bCs/>
          <w:vertAlign w:val="superscript"/>
          <w:lang w:val="en-US"/>
        </w:rPr>
        <w:t>rd</w:t>
      </w:r>
      <w:r>
        <w:rPr>
          <w:rFonts w:hint="default" w:cs="Times New Roman"/>
          <w:bCs/>
          <w:lang w:val="en-US"/>
        </w:rPr>
        <w:t xml:space="preserve"> km of the Kiev Highway, one at 25 Leningrad Highway, and one at the 2</w:t>
      </w:r>
      <w:r>
        <w:rPr>
          <w:rFonts w:hint="default" w:cs="Times New Roman"/>
          <w:bCs/>
          <w:vertAlign w:val="superscript"/>
          <w:lang w:val="en-US"/>
        </w:rPr>
        <w:t>nd</w:t>
      </w:r>
      <w:r>
        <w:rPr>
          <w:rFonts w:hint="default" w:cs="Times New Roman"/>
          <w:bCs/>
          <w:lang w:val="en-US"/>
        </w:rPr>
        <w:t xml:space="preserve"> km of the Moscow Circle Road – and one more store in Rostov-on-Don at 17 Mikhail Nagibin Prospect. One more Family Room center will be opened soon.</w:t>
      </w:r>
    </w:p>
    <w:p>
      <w:pPr>
        <w:spacing w:line="276" w:lineRule="auto"/>
        <w:jc w:val="both"/>
        <w:rPr>
          <w:rFonts w:cs="Times New Roman"/>
          <w:bCs/>
        </w:rPr>
      </w:pPr>
    </w:p>
    <w:p>
      <w:pPr>
        <w:spacing w:line="276" w:lineRule="auto"/>
        <w:jc w:val="both"/>
        <w:rPr>
          <w:rFonts w:hint="default" w:cs="Times New Roman"/>
          <w:bCs/>
          <w:lang w:val="en-US"/>
        </w:rPr>
      </w:pPr>
      <w:r>
        <w:rPr>
          <w:rFonts w:hint="default" w:cs="Times New Roman"/>
          <w:bCs/>
          <w:lang w:val="en-US"/>
        </w:rPr>
        <w:t>“Family Room furniture centers help visitors with various interests find everything they need for home improvement under one roof. From now on, the people of Arkhangelsk will be able to do that as well. Family Room is a new brand yet it quickly gains popularity. It has successfully established a foothold in Moscow, and now we will do our best to make sure the people of Arkhangelsk love it too,” said Tashir Manager CEO Victor Grigoryan.</w:t>
      </w:r>
    </w:p>
    <w:p>
      <w:pPr>
        <w:spacing w:line="276" w:lineRule="auto"/>
        <w:jc w:val="both"/>
        <w:rPr>
          <w:rFonts w:cs="Times New Roman"/>
          <w:bCs/>
        </w:rPr>
      </w:pPr>
    </w:p>
    <w:p>
      <w:pPr>
        <w:spacing w:line="276" w:lineRule="auto"/>
        <w:jc w:val="both"/>
        <w:rPr>
          <w:rFonts w:cs="Times New Roman"/>
          <w:bCs/>
        </w:rPr>
      </w:pPr>
      <w:r>
        <w:rPr>
          <w:rFonts w:hint="default" w:cs="Times New Roman"/>
          <w:bCs/>
          <w:lang w:val="en-US"/>
        </w:rPr>
        <w:t>The new furniture center is easily accessible to visitors, with a public transport stop located in immediate proximity.</w:t>
      </w:r>
    </w:p>
    <w:p>
      <w:pPr>
        <w:spacing w:line="276" w:lineRule="auto"/>
        <w:jc w:val="both"/>
        <w:rPr>
          <w:rFonts w:hint="default" w:cs="Times New Roman"/>
          <w:bCs/>
          <w:lang w:val="ru-RU"/>
        </w:rPr>
      </w:pPr>
    </w:p>
    <w:p>
      <w:pPr>
        <w:keepNext/>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Cs w:val="28"/>
          <w:lang w:val="en-US"/>
        </w:rPr>
      </w:pPr>
      <w:r>
        <w:rPr>
          <w:rFonts w:hint="default" w:ascii="Times New Roman" w:hAnsi="Times New Roman" w:cs="Times New Roman"/>
          <w:b/>
          <w:lang w:val="en-US" w:eastAsia="en-US"/>
        </w:rPr>
        <w:t>About Tashir Group</w:t>
      </w:r>
    </w:p>
    <w:p>
      <w:pPr>
        <w:keepNext/>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lang w:eastAsia="en-US"/>
        </w:rPr>
      </w:pP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sz w:val="24"/>
          <w:szCs w:val="24"/>
          <w:lang w:val="en-US"/>
        </w:rPr>
      </w:pPr>
      <w:r>
        <w:rPr>
          <w:rFonts w:hint="default" w:ascii="Times New Roman" w:hAnsi="Times New Roman" w:cs="Times New Roman"/>
          <w:color w:val="00000A"/>
          <w:sz w:val="24"/>
          <w:szCs w:val="24"/>
          <w:lang w:val="en-US"/>
        </w:rPr>
        <w:t>Tashir is a diverse nationwide group of companies, established in 1999 and bringing together over 200 companies in various sectors, including construction, manufacturing, finance, energy, development, retail and entertainment. Tashir has over 45,000 employees in 51 cities in Russia and neighboring countries. Samvel Karapetyan is the founder and President of Tashir. The company’s headquarters are in Moscow.</w:t>
      </w: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color w:val="00000A"/>
          <w:sz w:val="24"/>
          <w:szCs w:val="24"/>
          <w:lang w:val="en-US"/>
        </w:rPr>
      </w:pP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szCs w:val="28"/>
          <w:lang w:val="ru-RU"/>
        </w:rPr>
      </w:pPr>
      <w:r>
        <w:rPr>
          <w:rFonts w:hint="default" w:ascii="Times New Roman" w:hAnsi="Times New Roman" w:cs="Times New Roman"/>
          <w:color w:val="00000A"/>
          <w:sz w:val="24"/>
          <w:szCs w:val="24"/>
          <w:lang w:val="en-US"/>
        </w:rPr>
        <w:t>The core of Tashir Group’s business is commercial real estate development and management, with an emphasis on retail space. Tashir is a leader on the Russian development market, creating modern, state-of-the-art facilities in commercial and residential real estate with a total area of approximately 2.5 million sq.m.</w:t>
      </w:r>
    </w:p>
    <w:p>
      <w:pPr>
        <w:keepNext w:val="0"/>
        <w:keepLines w:val="0"/>
        <w:pageBreakBefore w:val="0"/>
        <w:kinsoku/>
        <w:wordWrap/>
        <w:overflowPunct/>
        <w:topLinePunct w:val="0"/>
        <w:bidi w:val="0"/>
        <w:adjustRightInd/>
        <w:snapToGrid/>
        <w:spacing w:line="276" w:lineRule="auto"/>
        <w:jc w:val="both"/>
        <w:textAlignment w:val="auto"/>
        <w:rPr>
          <w:rFonts w:hint="default" w:ascii="Times New Roman" w:hAnsi="Times New Roman" w:cs="Times New Roman"/>
          <w:b/>
          <w:sz w:val="24"/>
          <w:szCs w:val="24"/>
        </w:rPr>
      </w:pP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Contact Us</w:t>
      </w: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b/>
          <w:sz w:val="24"/>
          <w:szCs w:val="24"/>
          <w:lang w:val="en-US"/>
        </w:rPr>
      </w:pP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Times New Roman" w:hAnsi="Times New Roman" w:cs="Times New Roman"/>
          <w:b w:val="0"/>
          <w:bCs/>
          <w:i/>
          <w:iCs/>
          <w:sz w:val="24"/>
          <w:szCs w:val="24"/>
          <w:lang w:val="en-US"/>
        </w:rPr>
      </w:pPr>
      <w:r>
        <w:rPr>
          <w:rFonts w:hint="default" w:ascii="Times New Roman" w:hAnsi="Times New Roman" w:cs="Times New Roman"/>
          <w:b w:val="0"/>
          <w:bCs/>
          <w:i/>
          <w:iCs/>
          <w:sz w:val="24"/>
          <w:szCs w:val="24"/>
          <w:lang w:val="en-US"/>
        </w:rPr>
        <w:t>For more information, please contact the Tashir Group Corporate Communications Department</w:t>
      </w:r>
    </w:p>
    <w:p>
      <w:pPr>
        <w:pStyle w:val="5"/>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Style w:val="12"/>
          <w:rFonts w:hint="default" w:ascii="Times New Roman" w:hAnsi="Times New Roman" w:cs="Times New Roman"/>
          <w:sz w:val="24"/>
          <w:szCs w:val="24"/>
          <w:lang w:val="en-US"/>
        </w:rPr>
      </w:pPr>
      <w:r>
        <w:rPr>
          <w:rFonts w:hint="default" w:ascii="Times New Roman" w:hAnsi="Times New Roman" w:cs="Times New Roman" w:eastAsiaTheme="minorEastAsia"/>
          <w:color w:val="31859C" w:themeColor="accent5" w:themeShade="BF"/>
          <w:sz w:val="24"/>
          <w:szCs w:val="24"/>
          <w:lang w:val="en-US"/>
        </w:rPr>
        <w:t xml:space="preserve">+7 495 989 28 32| e-mail: </w:t>
      </w:r>
      <w:r>
        <w:rPr>
          <w:rStyle w:val="12"/>
          <w:rFonts w:hint="default" w:ascii="Times New Roman" w:hAnsi="Times New Roman" w:cs="Times New Roman"/>
          <w:sz w:val="24"/>
          <w:szCs w:val="24"/>
          <w:lang w:val="en-US"/>
        </w:rPr>
        <w:fldChar w:fldCharType="begin"/>
      </w:r>
      <w:r>
        <w:rPr>
          <w:rStyle w:val="12"/>
          <w:rFonts w:hint="default" w:ascii="Times New Roman" w:hAnsi="Times New Roman" w:cs="Times New Roman"/>
          <w:sz w:val="24"/>
          <w:szCs w:val="24"/>
          <w:lang w:val="en-US"/>
        </w:rPr>
        <w:instrText xml:space="preserve"> HYPERLINK "mailto:press@tashir.ru" </w:instrText>
      </w:r>
      <w:r>
        <w:rPr>
          <w:rStyle w:val="12"/>
          <w:rFonts w:hint="default" w:ascii="Times New Roman" w:hAnsi="Times New Roman" w:cs="Times New Roman"/>
          <w:sz w:val="24"/>
          <w:szCs w:val="24"/>
          <w:lang w:val="en-US"/>
        </w:rPr>
        <w:fldChar w:fldCharType="separate"/>
      </w:r>
      <w:r>
        <w:rPr>
          <w:rStyle w:val="12"/>
          <w:rFonts w:hint="default" w:ascii="Times New Roman" w:hAnsi="Times New Roman" w:cs="Times New Roman"/>
          <w:sz w:val="24"/>
          <w:szCs w:val="24"/>
          <w:lang w:val="en-US"/>
        </w:rPr>
        <w:t>press@tashir.ru</w:t>
      </w:r>
      <w:r>
        <w:rPr>
          <w:rStyle w:val="12"/>
          <w:rFonts w:hint="default" w:ascii="Times New Roman" w:hAnsi="Times New Roman" w:cs="Times New Roman"/>
          <w:sz w:val="24"/>
          <w:szCs w:val="24"/>
          <w:lang w:val="en-US"/>
        </w:rPr>
        <w:fldChar w:fldCharType="end"/>
      </w:r>
    </w:p>
    <w:p>
      <w:pPr>
        <w:keepNext w:val="0"/>
        <w:keepLines w:val="0"/>
        <w:pageBreakBefore w:val="0"/>
        <w:kinsoku/>
        <w:wordWrap/>
        <w:overflowPunct/>
        <w:topLinePunct w:val="0"/>
        <w:bidi w:val="0"/>
        <w:adjustRightInd/>
        <w:snapToGrid/>
        <w:spacing w:line="276" w:lineRule="auto"/>
        <w:jc w:val="both"/>
        <w:textAlignment w:val="auto"/>
        <w:rPr>
          <w:rFonts w:cs="Times New Roman"/>
        </w:rPr>
      </w:pPr>
      <w:r>
        <w:rPr>
          <w:rFonts w:hint="default" w:ascii="Times New Roman" w:hAnsi="Times New Roman" w:cs="Times New Roman" w:eastAsiaTheme="minorEastAsia"/>
          <w:color w:val="31859C" w:themeColor="accent5" w:themeShade="BF"/>
          <w:sz w:val="24"/>
          <w:szCs w:val="24"/>
          <w:lang w:val="en-US"/>
        </w:rPr>
        <w:t>13/5 Podkolokolny Lane, Moscow</w:t>
      </w:r>
    </w:p>
    <w:sectPr>
      <w:headerReference r:id="rId4" w:type="first"/>
      <w:headerReference r:id="rId3" w:type="default"/>
      <w:footerReference r:id="rId5" w:type="default"/>
      <w:pgSz w:w="11900" w:h="16840"/>
      <w:pgMar w:top="250" w:right="1469" w:bottom="1418" w:left="1440" w:header="902" w:footer="4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9"/>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Sylfaen"/>
    <w:panose1 w:val="00000000000000000000"/>
    <w:charset w:val="86"/>
    <w:family w:val="auto"/>
    <w:pitch w:val="default"/>
    <w:sig w:usb0="00000000" w:usb1="00000000" w:usb2="00000010" w:usb3="00000000" w:csb0="00000001" w:csb1="00000000"/>
  </w:font>
  <w:font w:name="Georgia">
    <w:panose1 w:val="02040502050405020303"/>
    <w:charset w:val="CC"/>
    <w:family w:val="roman"/>
    <w:pitch w:val="default"/>
    <w:sig w:usb0="00000287" w:usb1="00000000" w:usb2="00000000" w:usb3="00000000" w:csb0="2000009F" w:csb1="00000000"/>
  </w:font>
  <w:font w:name="Lucida Grande CY">
    <w:altName w:val="Segoe Print"/>
    <w:panose1 w:val="00000000000000000000"/>
    <w:charset w:val="59"/>
    <w:family w:val="auto"/>
    <w:pitch w:val="default"/>
    <w:sig w:usb0="00000000" w:usb1="00000000" w:usb2="00000000" w:usb3="00000000" w:csb0="000001BF" w:csb1="00000000"/>
  </w:font>
  <w:font w:name="Arial">
    <w:panose1 w:val="020B0604020202020204"/>
    <w:charset w:val="CC"/>
    <w:family w:val="swiss"/>
    <w:pitch w:val="default"/>
    <w:sig w:usb0="E0002EFF" w:usb1="C000785B" w:usb2="00000009" w:usb3="00000000" w:csb0="400001FF" w:csb1="FFFF0000"/>
  </w:font>
  <w:font w:name="Sylfaen">
    <w:panose1 w:val="010A0502050306030303"/>
    <w:charset w:val="00"/>
    <w:family w:val="auto"/>
    <w:pitch w:val="default"/>
    <w:sig w:usb0="04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59"/>
    <w:family w:val="auto"/>
    <w:pitch w:val="default"/>
    <w:sig w:usb0="0000028F" w:usb1="00000000" w:usb2="00000000" w:usb3="00000000" w:csb0="2000009F" w:csb1="47010000"/>
  </w:font>
  <w:font w:name="Helvetica Neue">
    <w:altName w:val="SimSun"/>
    <w:panose1 w:val="00000000000000000000"/>
    <w:charset w:val="86"/>
    <w:family w:val="auto"/>
    <w:pitch w:val="default"/>
    <w:sig w:usb0="00000000" w:usb1="00000000" w:usb2="0000001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right" w:pos="8971"/>
        <w:tab w:val="clear" w:pos="9355"/>
      </w:tabs>
      <w:jc w:val="center"/>
      <w:rPr>
        <w:rFonts w:ascii="Arial" w:hAnsi="Arial" w:eastAsia="Arial" w:cs="Arial"/>
        <w:sz w:val="16"/>
        <w:szCs w:val="16"/>
      </w:rPr>
    </w:pPr>
  </w:p>
  <w:p>
    <w:pPr>
      <w:pStyle w:val="8"/>
      <w:tabs>
        <w:tab w:val="left" w:pos="218"/>
        <w:tab w:val="center" w:pos="4498"/>
        <w:tab w:val="right" w:pos="8971"/>
        <w:tab w:val="clear" w:pos="9355"/>
      </w:tabs>
    </w:pPr>
    <w:r>
      <w:rPr>
        <w:rFonts w:ascii="Arial" w:hAnsi="Arial" w:eastAsia="Arial" w:cs="Arial"/>
        <w:sz w:val="16"/>
        <w:szCs w:val="16"/>
      </w:rPr>
      <w:tab/>
    </w:r>
    <w:r>
      <w:rPr>
        <w:rFonts w:ascii="Arial" w:hAnsi="Arial" w:eastAsia="Arial" w:cs="Arial"/>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p>
    <w:pPr>
      <w:jc w:val="both"/>
      <w:rPr>
        <w:color w:val="1F497D"/>
        <w:u w:color="1F497D"/>
      </w:rPr>
    </w:pPr>
  </w:p>
  <w:p>
    <w:pPr>
      <w:jc w:val="both"/>
      <w:rPr>
        <w:lang w:val="en-US"/>
      </w:rPr>
    </w:pPr>
  </w:p>
  <w:p>
    <w:pPr>
      <w:jc w:val="right"/>
      <w:rPr>
        <w:i/>
        <w:iCs/>
        <w:color w:val="1F497D"/>
        <w:u w:color="1F497D"/>
      </w:rPr>
    </w:pPr>
    <w:r>
      <w:rPr>
        <w:rFonts w:hint="default"/>
        <w:i/>
        <w:iCs/>
        <w:lang w:val="en-US"/>
      </w:rPr>
      <w:t>External communications department</w:t>
    </w:r>
  </w:p>
  <w:p>
    <w:pPr>
      <w:pBdr>
        <w:bottom w:val="single" w:color="000000" w:sz="12"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lang w:val="en-US"/>
      </w:rPr>
      <w:drawing>
        <wp:inline distT="0" distB="0" distL="0" distR="0">
          <wp:extent cx="2047875" cy="306070"/>
          <wp:effectExtent l="0" t="0" r="0" b="0"/>
          <wp:docPr id="1073741825" name="officeArt object"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Рисунок 3"/>
                  <pic:cNvPicPr>
                    <a:picLocks noChangeAspect="1"/>
                  </pic:cNvPicPr>
                </pic:nvPicPr>
                <pic:blipFill>
                  <a:blip r:embed="rId1"/>
                  <a:stretch>
                    <a:fillRect/>
                  </a:stretch>
                </pic:blipFill>
                <pic:spPr>
                  <a:xfrm>
                    <a:off x="0" y="0"/>
                    <a:ext cx="2047875" cy="306071"/>
                  </a:xfrm>
                  <a:prstGeom prst="rect">
                    <a:avLst/>
                  </a:prstGeom>
                  <a:ln w="12700" cap="flat">
                    <a:noFill/>
                    <a:miter lim="400000"/>
                    <a:headEnd/>
                    <a:tailEnd/>
                  </a:ln>
                  <a:effectLst/>
                </pic:spPr>
              </pic:pic>
            </a:graphicData>
          </a:graphic>
        </wp:inline>
      </w:drawing>
    </w:r>
  </w:p>
  <w:p>
    <w:pPr>
      <w:jc w:val="both"/>
    </w:pPr>
  </w:p>
  <w:p>
    <w:pPr>
      <w:jc w:val="both"/>
      <w:rPr>
        <w:color w:val="1F497D"/>
        <w:u w:color="1F497D"/>
      </w:rPr>
    </w:pPr>
  </w:p>
  <w:p>
    <w:pPr>
      <w:pBdr>
        <w:bottom w:val="single" w:color="000000" w:sz="12" w:space="0"/>
      </w:pBdr>
      <w:jc w:val="both"/>
      <w:rPr>
        <w:lang w:val="en-US"/>
      </w:rPr>
    </w:pPr>
  </w:p>
  <w:p>
    <w:pPr>
      <w:jc w:val="both"/>
      <w:rPr>
        <w:lang w:val="en-US"/>
      </w:rPr>
    </w:pPr>
  </w:p>
  <w:p>
    <w:pPr>
      <w:wordWrap w:val="0"/>
      <w:jc w:val="right"/>
      <w:rPr>
        <w:rFonts w:hint="default"/>
        <w:i/>
        <w:iCs/>
        <w:lang w:val="en-US"/>
      </w:rPr>
    </w:pPr>
    <w:r>
      <w:rPr>
        <w:rFonts w:hint="default"/>
        <w:i/>
        <w:iCs/>
        <w:lang w:val="en-US"/>
      </w:rPr>
      <w:t>External communications department</w:t>
    </w:r>
  </w:p>
  <w:p>
    <w:pPr>
      <w:pStyle w:val="9"/>
      <w:tabs>
        <w:tab w:val="right" w:pos="8971"/>
        <w:tab w:val="clear" w:pos="9355"/>
      </w:tabs>
      <w:ind w:left="4677" w:hanging="467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64"/>
    <w:rsid w:val="0001208F"/>
    <w:rsid w:val="00042E2F"/>
    <w:rsid w:val="00056E89"/>
    <w:rsid w:val="00080ACD"/>
    <w:rsid w:val="000A1EFE"/>
    <w:rsid w:val="00105E18"/>
    <w:rsid w:val="00123CEF"/>
    <w:rsid w:val="00127EC0"/>
    <w:rsid w:val="00154E30"/>
    <w:rsid w:val="001611D7"/>
    <w:rsid w:val="00195AFE"/>
    <w:rsid w:val="001A4449"/>
    <w:rsid w:val="001B1247"/>
    <w:rsid w:val="00247FD5"/>
    <w:rsid w:val="00266FF5"/>
    <w:rsid w:val="00280FEA"/>
    <w:rsid w:val="002F656B"/>
    <w:rsid w:val="003137AE"/>
    <w:rsid w:val="0037307D"/>
    <w:rsid w:val="003B34C6"/>
    <w:rsid w:val="003F3734"/>
    <w:rsid w:val="00420BB9"/>
    <w:rsid w:val="00447530"/>
    <w:rsid w:val="00466227"/>
    <w:rsid w:val="0049390A"/>
    <w:rsid w:val="004E4EBD"/>
    <w:rsid w:val="00533DFC"/>
    <w:rsid w:val="00554D8C"/>
    <w:rsid w:val="00564092"/>
    <w:rsid w:val="00584BAD"/>
    <w:rsid w:val="0058714E"/>
    <w:rsid w:val="00597088"/>
    <w:rsid w:val="005A7775"/>
    <w:rsid w:val="005B0B60"/>
    <w:rsid w:val="006662F7"/>
    <w:rsid w:val="00677E79"/>
    <w:rsid w:val="006D505F"/>
    <w:rsid w:val="0072064F"/>
    <w:rsid w:val="00735D53"/>
    <w:rsid w:val="0078658C"/>
    <w:rsid w:val="00791341"/>
    <w:rsid w:val="007B6102"/>
    <w:rsid w:val="007B77E5"/>
    <w:rsid w:val="007F6964"/>
    <w:rsid w:val="008063C6"/>
    <w:rsid w:val="008132F0"/>
    <w:rsid w:val="00814344"/>
    <w:rsid w:val="0083105A"/>
    <w:rsid w:val="00843ECA"/>
    <w:rsid w:val="00844DD7"/>
    <w:rsid w:val="008B55BC"/>
    <w:rsid w:val="00936914"/>
    <w:rsid w:val="00937A4C"/>
    <w:rsid w:val="00977F2F"/>
    <w:rsid w:val="00A114C3"/>
    <w:rsid w:val="00A2752F"/>
    <w:rsid w:val="00A64C6B"/>
    <w:rsid w:val="00A91608"/>
    <w:rsid w:val="00AC4DB1"/>
    <w:rsid w:val="00AD7788"/>
    <w:rsid w:val="00B426D6"/>
    <w:rsid w:val="00BC68E3"/>
    <w:rsid w:val="00BE14E3"/>
    <w:rsid w:val="00C02FEF"/>
    <w:rsid w:val="00C918E4"/>
    <w:rsid w:val="00C96D43"/>
    <w:rsid w:val="00CA508B"/>
    <w:rsid w:val="00CE5DE5"/>
    <w:rsid w:val="00CF1169"/>
    <w:rsid w:val="00CF6349"/>
    <w:rsid w:val="00D37143"/>
    <w:rsid w:val="00D602E3"/>
    <w:rsid w:val="00D771CD"/>
    <w:rsid w:val="00D829AD"/>
    <w:rsid w:val="00E175C1"/>
    <w:rsid w:val="00E2511B"/>
    <w:rsid w:val="00F433AD"/>
    <w:rsid w:val="00F57350"/>
    <w:rsid w:val="00F65A4E"/>
    <w:rsid w:val="00F74E73"/>
    <w:rsid w:val="00F75901"/>
    <w:rsid w:val="32D81C4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ru-RU" w:eastAsia="ru-RU"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paragraph" w:styleId="3">
    <w:name w:val="heading 2"/>
    <w:basedOn w:val="1"/>
    <w:next w:val="1"/>
    <w:link w:val="21"/>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10">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rPr>
      <w:rFonts w:ascii="Lucida Grande CY" w:hAnsi="Lucida Grande CY" w:cs="Lucida Grande CY"/>
      <w:sz w:val="18"/>
      <w:szCs w:val="18"/>
    </w:rPr>
  </w:style>
  <w:style w:type="paragraph" w:styleId="5">
    <w:name w:val="Body Text"/>
    <w:basedOn w:val="1"/>
    <w:qFormat/>
    <w:uiPriority w:val="1"/>
    <w:pPr>
      <w:widowControl w:val="0"/>
      <w:autoSpaceDE w:val="0"/>
      <w:autoSpaceDN w:val="0"/>
    </w:pPr>
    <w:rPr>
      <w:rFonts w:ascii="Georgia" w:hAnsi="Georgia" w:eastAsia="Georgia" w:cs="Georgia"/>
      <w:lang w:bidi="ru-RU"/>
    </w:rPr>
  </w:style>
  <w:style w:type="paragraph" w:styleId="6">
    <w:name w:val="annotation text"/>
    <w:basedOn w:val="1"/>
    <w:link w:val="22"/>
    <w:semiHidden/>
    <w:unhideWhenUsed/>
    <w:uiPriority w:val="99"/>
    <w:rPr>
      <w:sz w:val="20"/>
      <w:szCs w:val="20"/>
    </w:rPr>
  </w:style>
  <w:style w:type="paragraph" w:styleId="7">
    <w:name w:val="annotation subject"/>
    <w:basedOn w:val="6"/>
    <w:next w:val="6"/>
    <w:link w:val="23"/>
    <w:semiHidden/>
    <w:unhideWhenUsed/>
    <w:uiPriority w:val="99"/>
    <w:rPr>
      <w:b/>
      <w:bCs/>
    </w:rPr>
  </w:style>
  <w:style w:type="paragraph" w:styleId="8">
    <w:name w:val="footer"/>
    <w:basedOn w:val="1"/>
    <w:uiPriority w:val="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pPr>
    <w:rPr>
      <w:rFonts w:ascii="Times New Roman" w:hAnsi="Times New Roman" w:eastAsia="Times New Roman" w:cs="Times New Roman"/>
      <w:color w:val="000000"/>
      <w:sz w:val="24"/>
      <w:szCs w:val="24"/>
      <w:u w:color="000000"/>
      <w:lang w:val="ru-RU" w:eastAsia="ru-RU" w:bidi="ar-SA"/>
    </w:rPr>
  </w:style>
  <w:style w:type="paragraph" w:styleId="9">
    <w:name w:val="header"/>
    <w:basedOn w:val="1"/>
    <w:uiPriority w:val="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pPr>
    <w:rPr>
      <w:rFonts w:ascii="Times New Roman" w:hAnsi="Times New Roman" w:eastAsia="Times New Roman" w:cs="Times New Roman"/>
      <w:color w:val="000000"/>
      <w:sz w:val="24"/>
      <w:szCs w:val="24"/>
      <w:u w:color="000000"/>
      <w:lang w:val="ru-RU" w:eastAsia="ru-RU" w:bidi="ar-SA"/>
    </w:rPr>
  </w:style>
  <w:style w:type="character" w:styleId="11">
    <w:name w:val="annotation reference"/>
    <w:basedOn w:val="10"/>
    <w:semiHidden/>
    <w:unhideWhenUsed/>
    <w:uiPriority w:val="99"/>
    <w:rPr>
      <w:sz w:val="16"/>
      <w:szCs w:val="16"/>
    </w:rPr>
  </w:style>
  <w:style w:type="character" w:styleId="12">
    <w:name w:val="Hyperlink"/>
    <w:uiPriority w:val="0"/>
    <w:rPr>
      <w:u w:val="single"/>
    </w:rPr>
  </w:style>
  <w:style w:type="table" w:customStyle="1" w:styleId="14">
    <w:name w:val="Table Normal1"/>
    <w:uiPriority w:val="0"/>
    <w:tblPr>
      <w:tblCellMar>
        <w:top w:w="0" w:type="dxa"/>
        <w:left w:w="0" w:type="dxa"/>
        <w:bottom w:w="0" w:type="dxa"/>
        <w:right w:w="0" w:type="dxa"/>
      </w:tblCellMar>
    </w:tblPr>
  </w:style>
  <w:style w:type="paragraph" w:customStyle="1" w:styleId="15">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ru-RU" w:eastAsia="ru-RU" w:bidi="ar-SA"/>
    </w:rPr>
  </w:style>
  <w:style w:type="character" w:customStyle="1" w:styleId="16">
    <w:name w:val="Ссылка"/>
    <w:uiPriority w:val="0"/>
    <w:rPr>
      <w:color w:val="0000FF"/>
      <w:u w:val="single" w:color="0000FF"/>
    </w:rPr>
  </w:style>
  <w:style w:type="character" w:customStyle="1" w:styleId="17">
    <w:name w:val="Hyperlink.0"/>
    <w:basedOn w:val="16"/>
    <w:uiPriority w:val="0"/>
    <w:rPr>
      <w:rFonts w:ascii="Georgia" w:hAnsi="Georgia" w:eastAsia="Georgia" w:cs="Georgia"/>
      <w:color w:val="0000FF"/>
      <w:u w:val="single" w:color="0000FF"/>
      <w:lang w:val="en-US"/>
    </w:rPr>
  </w:style>
  <w:style w:type="character" w:customStyle="1" w:styleId="18">
    <w:name w:val="Текст выноски Знак"/>
    <w:basedOn w:val="10"/>
    <w:link w:val="4"/>
    <w:semiHidden/>
    <w:uiPriority w:val="99"/>
    <w:rPr>
      <w:rFonts w:ascii="Lucida Grande CY" w:hAnsi="Lucida Grande CY" w:cs="Lucida Grande CY"/>
      <w:color w:val="000000"/>
      <w:sz w:val="18"/>
      <w:szCs w:val="18"/>
      <w:u w:color="000000"/>
    </w:rPr>
  </w:style>
  <w:style w:type="paragraph" w:styleId="19">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ind w:left="720"/>
      <w:contextualSpacing/>
    </w:pPr>
    <w:rPr>
      <w:rFonts w:asciiTheme="minorHAnsi" w:hAnsiTheme="minorHAnsi" w:eastAsiaTheme="minorEastAsia" w:cstheme="minorBidi"/>
      <w:color w:val="auto"/>
    </w:rPr>
  </w:style>
  <w:style w:type="character" w:customStyle="1" w:styleId="20">
    <w:name w:val="Заголовок 1 Знак"/>
    <w:basedOn w:val="10"/>
    <w:link w:val="2"/>
    <w:uiPriority w:val="9"/>
    <w:rPr>
      <w:rFonts w:asciiTheme="majorHAnsi" w:hAnsiTheme="majorHAnsi" w:eastAsiaTheme="majorEastAsia" w:cstheme="majorBidi"/>
      <w:b/>
      <w:bCs/>
      <w:color w:val="345B8A" w:themeColor="accent1" w:themeShade="B5"/>
      <w:sz w:val="32"/>
      <w:szCs w:val="32"/>
      <w:u w:color="000000"/>
    </w:rPr>
  </w:style>
  <w:style w:type="character" w:customStyle="1" w:styleId="21">
    <w:name w:val="Заголовок 2 Знак"/>
    <w:basedOn w:val="10"/>
    <w:link w:val="3"/>
    <w:semiHidden/>
    <w:uiPriority w:val="9"/>
    <w:rPr>
      <w:rFonts w:asciiTheme="majorHAnsi" w:hAnsiTheme="majorHAnsi" w:eastAsiaTheme="majorEastAsia" w:cstheme="majorBidi"/>
      <w:b/>
      <w:bCs/>
      <w:color w:val="4F81BD" w:themeColor="accent1"/>
      <w:sz w:val="26"/>
      <w:szCs w:val="26"/>
      <w:u w:color="000000"/>
      <w14:textFill>
        <w14:solidFill>
          <w14:schemeClr w14:val="accent1"/>
        </w14:solidFill>
      </w14:textFill>
    </w:rPr>
  </w:style>
  <w:style w:type="character" w:customStyle="1" w:styleId="22">
    <w:name w:val="Текст примечания Знак"/>
    <w:basedOn w:val="10"/>
    <w:link w:val="6"/>
    <w:semiHidden/>
    <w:uiPriority w:val="99"/>
    <w:rPr>
      <w:rFonts w:cs="Arial Unicode MS"/>
      <w:color w:val="000000"/>
      <w:u w:color="000000"/>
    </w:rPr>
  </w:style>
  <w:style w:type="character" w:customStyle="1" w:styleId="23">
    <w:name w:val="Тема примечания Знак"/>
    <w:basedOn w:val="22"/>
    <w:link w:val="7"/>
    <w:semiHidden/>
    <w:uiPriority w:val="99"/>
    <w:rPr>
      <w:rFonts w:cs="Arial Unicode MS"/>
      <w:b/>
      <w:bCs/>
      <w:color w:val="000000"/>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466</Words>
  <Characters>2661</Characters>
  <Lines>22</Lines>
  <Paragraphs>6</Paragraphs>
  <TotalTime>4</TotalTime>
  <ScaleCrop>false</ScaleCrop>
  <LinksUpToDate>false</LinksUpToDate>
  <CharactersWithSpaces>3121</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2020-07-20T14:45:00Z</dcterms:created>
  <dc:creator>Аджемян Зара Арменовна</dc:creator>
  <cp:lastModifiedBy>Vladimir</cp:lastModifiedBy>
  <cp:lastPrinted>2020-05-26T11:43:00Z</cp:lastPrinted>
  <dcterms:modified xsi:type="dcterms:W3CDTF">2020-07-21T07:31:58Z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