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ascii="Arial" w:hAnsi="Arial" w:eastAsia="Arial" w:cs="Arial"/>
          <w:sz w:val="22"/>
          <w:szCs w:val="22"/>
        </w:rPr>
        <w:drawing>
          <wp:anchor distT="0" distB="0" distL="114300" distR="114300" simplePos="0" relativeHeight="251659264" behindDoc="0" locked="0" layoutInCell="1" allowOverlap="1">
            <wp:simplePos x="0" y="0"/>
            <wp:positionH relativeFrom="margin">
              <wp:posOffset>3608070</wp:posOffset>
            </wp:positionH>
            <wp:positionV relativeFrom="margin">
              <wp:posOffset>295275</wp:posOffset>
            </wp:positionV>
            <wp:extent cx="2099310" cy="538480"/>
            <wp:effectExtent l="0" t="0" r="0" b="0"/>
            <wp:wrapSquare wrapText="bothSides"/>
            <wp:docPr id="1073741826" name="officeArt object"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Изображение"/>
                    <pic:cNvPicPr>
                      <a:picLocks noChangeAspect="1"/>
                    </pic:cNvPicPr>
                  </pic:nvPicPr>
                  <pic:blipFill>
                    <a:blip r:embed="rId8"/>
                    <a:stretch>
                      <a:fillRect/>
                    </a:stretch>
                  </pic:blipFill>
                  <pic:spPr>
                    <a:xfrm>
                      <a:off x="0" y="0"/>
                      <a:ext cx="2099310" cy="538480"/>
                    </a:xfrm>
                    <a:prstGeom prst="rect">
                      <a:avLst/>
                    </a:prstGeom>
                    <a:ln w="12700" cap="flat">
                      <a:noFill/>
                      <a:miter lim="400000"/>
                      <a:headEnd/>
                      <a:tailEnd/>
                    </a:ln>
                    <a:effectLst/>
                  </pic:spPr>
                </pic:pic>
              </a:graphicData>
            </a:graphic>
          </wp:anchor>
        </w:drawing>
      </w:r>
      <w:r>
        <w:rPr>
          <w:rFonts w:ascii="Arial" w:hAnsi="Arial"/>
          <w:sz w:val="22"/>
          <w:szCs w:val="22"/>
        </w:rPr>
        <w:drawing>
          <wp:inline distT="0" distB="0" distL="0" distR="0">
            <wp:extent cx="2023745" cy="784860"/>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pic:cNvPicPr>
                  </pic:nvPicPr>
                  <pic:blipFill>
                    <a:blip r:embed="rId9"/>
                    <a:stretch>
                      <a:fillRect/>
                    </a:stretch>
                  </pic:blipFill>
                  <pic:spPr>
                    <a:xfrm>
                      <a:off x="0" y="0"/>
                      <a:ext cx="2024063" cy="784998"/>
                    </a:xfrm>
                    <a:prstGeom prst="rect">
                      <a:avLst/>
                    </a:prstGeom>
                    <a:ln w="12700" cap="flat">
                      <a:noFill/>
                      <a:miter lim="400000"/>
                      <a:headEnd/>
                      <a:tailEnd/>
                    </a:ln>
                    <a:effectLst/>
                  </pic:spPr>
                </pic:pic>
              </a:graphicData>
            </a:graphic>
          </wp:inline>
        </w:drawing>
      </w:r>
    </w:p>
    <w:p>
      <w:pPr>
        <w:spacing w:line="276" w:lineRule="auto"/>
        <w:rPr>
          <w:rFonts w:ascii="Georgia" w:hAnsi="Georgia"/>
          <w:i/>
          <w:iCs/>
          <w:sz w:val="22"/>
          <w:szCs w:val="22"/>
        </w:rPr>
      </w:pPr>
    </w:p>
    <w:p>
      <w:pPr>
        <w:spacing w:line="276" w:lineRule="auto"/>
        <w:rPr>
          <w:rFonts w:ascii="Georgia" w:hAnsi="Georgia"/>
          <w:i/>
          <w:iCs/>
          <w:sz w:val="22"/>
          <w:szCs w:val="22"/>
        </w:rPr>
      </w:pPr>
    </w:p>
    <w:p>
      <w:pPr>
        <w:spacing w:line="276" w:lineRule="auto"/>
        <w:rPr>
          <w:rFonts w:ascii="Georgia" w:hAnsi="Georgia"/>
          <w:i/>
          <w:iCs/>
          <w:sz w:val="22"/>
          <w:szCs w:val="22"/>
        </w:rPr>
      </w:pPr>
    </w:p>
    <w:p>
      <w:pPr>
        <w:spacing w:line="276" w:lineRule="auto"/>
        <w:rPr>
          <w:rFonts w:ascii="Georgia" w:hAnsi="Georgia" w:eastAsia="Georgia" w:cs="Georgia"/>
          <w:i/>
          <w:iCs/>
          <w:sz w:val="22"/>
          <w:szCs w:val="22"/>
        </w:rPr>
      </w:pPr>
      <w:r>
        <w:rPr>
          <w:rFonts w:hint="default" w:ascii="Georgia" w:hAnsi="Georgia"/>
          <w:i/>
          <w:iCs/>
          <w:sz w:val="22"/>
          <w:szCs w:val="22"/>
          <w:lang w:val="en-US"/>
        </w:rPr>
        <w:t>Press release</w:t>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 xml:space="preserve">           </w:t>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ascii="Georgia" w:hAnsi="Georgia"/>
          <w:i/>
          <w:iCs/>
          <w:sz w:val="22"/>
          <w:szCs w:val="22"/>
        </w:rPr>
        <w:tab/>
      </w:r>
      <w:r>
        <w:rPr>
          <w:rFonts w:hint="default" w:ascii="Georgia" w:hAnsi="Georgia"/>
          <w:i/>
          <w:iCs/>
          <w:sz w:val="22"/>
          <w:szCs w:val="22"/>
          <w:lang w:val="en-US"/>
        </w:rPr>
        <w:t xml:space="preserve"> </w:t>
      </w:r>
      <w:r>
        <w:rPr>
          <w:rFonts w:ascii="Georgia" w:hAnsi="Georgia"/>
          <w:i/>
          <w:iCs/>
          <w:sz w:val="22"/>
          <w:szCs w:val="22"/>
        </w:rPr>
        <w:t xml:space="preserve">          </w:t>
      </w:r>
      <w:r>
        <w:rPr>
          <w:rFonts w:hint="default" w:ascii="Georgia" w:hAnsi="Georgia"/>
          <w:i/>
          <w:iCs/>
          <w:sz w:val="22"/>
          <w:szCs w:val="22"/>
          <w:lang w:val="en-US"/>
        </w:rPr>
        <w:t xml:space="preserve">July </w:t>
      </w:r>
      <w:r>
        <w:rPr>
          <w:rFonts w:ascii="Georgia" w:hAnsi="Georgia"/>
          <w:i/>
          <w:iCs/>
          <w:sz w:val="22"/>
          <w:szCs w:val="22"/>
        </w:rPr>
        <w:t>15</w:t>
      </w:r>
      <w:r>
        <w:rPr>
          <w:rFonts w:hint="default" w:ascii="Georgia" w:hAnsi="Georgia"/>
          <w:i/>
          <w:iCs/>
          <w:sz w:val="22"/>
          <w:szCs w:val="22"/>
          <w:lang w:val="en-US"/>
        </w:rPr>
        <w:t>,</w:t>
      </w:r>
      <w:r>
        <w:rPr>
          <w:rFonts w:ascii="Georgia" w:hAnsi="Georgia"/>
          <w:i/>
          <w:iCs/>
          <w:sz w:val="22"/>
          <w:szCs w:val="22"/>
        </w:rPr>
        <w:t xml:space="preserve"> 2021</w:t>
      </w:r>
    </w:p>
    <w:p>
      <w:pPr>
        <w:spacing w:line="276" w:lineRule="auto"/>
        <w:rPr>
          <w:rFonts w:ascii="Georgia" w:hAnsi="Georgia" w:eastAsia="Georgia" w:cs="Georgia"/>
          <w:b/>
          <w:bCs/>
          <w:sz w:val="32"/>
          <w:szCs w:val="32"/>
        </w:rPr>
      </w:pPr>
    </w:p>
    <w:p>
      <w:pPr>
        <w:spacing w:line="276" w:lineRule="auto"/>
        <w:jc w:val="center"/>
        <w:rPr>
          <w:rFonts w:ascii="Georgia" w:hAnsi="Georgia" w:eastAsia="Georgia" w:cs="Georgia"/>
          <w:b/>
          <w:bCs/>
          <w:sz w:val="32"/>
          <w:szCs w:val="32"/>
        </w:rPr>
      </w:pPr>
    </w:p>
    <w:p>
      <w:pPr>
        <w:spacing w:line="276" w:lineRule="auto"/>
        <w:jc w:val="center"/>
        <w:rPr>
          <w:rFonts w:ascii="Georgia" w:hAnsi="Georgia" w:eastAsia="Georgia" w:cs="Georgia"/>
          <w:b/>
          <w:bCs/>
          <w:sz w:val="32"/>
          <w:szCs w:val="32"/>
        </w:rPr>
      </w:pP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cs="Times New Roman"/>
          <w:b/>
          <w:sz w:val="32"/>
          <w:szCs w:val="32"/>
        </w:rPr>
      </w:pPr>
      <w:r>
        <w:rPr>
          <w:rFonts w:hint="default" w:cs="Times New Roman"/>
          <w:b/>
          <w:sz w:val="32"/>
          <w:szCs w:val="32"/>
          <w:lang w:val="en-US"/>
        </w:rPr>
        <w:t>Tashir MEDICA launches a project in reproductive medicine</w:t>
      </w:r>
    </w:p>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eastAsia="Times New Roman" w:cs="Times New Roman"/>
          <w:b/>
          <w:bCs/>
          <w:sz w:val="32"/>
          <w:szCs w:val="32"/>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r>
        <w:rPr>
          <w:rFonts w:hint="default" w:cs="Times New Roman"/>
          <w:lang w:val="en-US"/>
        </w:rPr>
        <w:t xml:space="preserve">Tashir MEDICA, an investment company which is part of Tashir Group, will cover the baseline IVF cost for 100 couples at Fomin Clinic in Tver in order to make the expensive procedure more affordable. This is the first private investment in </w:t>
      </w:r>
      <w:r>
        <w:rPr>
          <w:rFonts w:hint="default" w:cs="Times New Roman"/>
          <w:i/>
          <w:iCs/>
          <w:lang w:val="en-US"/>
        </w:rPr>
        <w:t xml:space="preserve">in vitro </w:t>
      </w:r>
      <w:r>
        <w:rPr>
          <w:rFonts w:hint="default" w:cs="Times New Roman"/>
          <w:lang w:val="en-US"/>
        </w:rPr>
        <w:t>fertilization in Russia</w:t>
      </w:r>
      <w:r>
        <w:rPr>
          <w:rFonts w:cs="Times New Roman"/>
        </w:rPr>
        <w:t>.</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r>
        <w:rPr>
          <w:rFonts w:hint="default" w:cs="Times New Roman"/>
          <w:lang w:val="en-US"/>
        </w:rPr>
        <w:t>The new initiative is called “Working on a Miracle Together.” It will complement government funding provided through territorial quotas, which quickly run out.</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r>
        <w:rPr>
          <w:rFonts w:hint="default" w:cs="Times New Roman"/>
          <w:lang w:val="en-US"/>
        </w:rPr>
        <w:t>Tashir MEDICA and Fomin Clinic, a nationwide network of clinics specializing in gynecology, came up with a social project which will augment the quota subsidies by attracting commercial investors.</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r>
        <w:rPr>
          <w:rFonts w:hint="default" w:cs="Times New Roman"/>
          <w:lang w:val="en-US"/>
        </w:rPr>
        <w:t>Any woman residing in Tver Oblast who has been issued an IVF recommendation by a doctor can apply by filling out a form on the project’s landing page.</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s="Times New Roman"/>
          <w:lang w:val="en-US"/>
        </w:rPr>
      </w:pPr>
      <w:r>
        <w:rPr>
          <w:rFonts w:hint="default" w:cs="Times New Roman"/>
          <w:lang w:val="en-US"/>
        </w:rPr>
        <w:t>“We really hope that this social project evolves into a large-scale campaign, which will help many women fulfill their dream of having children. There are certainly a lot of hurdles along the way, but initiatives like ours help a large number of couples with limited funds. We hope that such social programs and private investment will give rise to a new trend, and other major companies will follow in our footsteps. Also, I would like to say a big thank-you to Tashir MEDICA for their openness and willingness to join our initiative,” Fomin Clinic founder Dmitry Fomin said.</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s="Times New Roman"/>
          <w:lang w:val="en-US"/>
        </w:rPr>
      </w:pPr>
      <w:r>
        <w:rPr>
          <w:rFonts w:hint="default" w:cs="Times New Roman"/>
          <w:lang w:val="en-US"/>
        </w:rPr>
        <w:t xml:space="preserve">To learn more about the initiative, please go to </w:t>
      </w:r>
      <w:r>
        <w:fldChar w:fldCharType="begin"/>
      </w:r>
      <w:r>
        <w:instrText xml:space="preserve"> HYPERLINK "https://promo.fomin-clinic.ru/tver/100-besplatnih-kvo" </w:instrText>
      </w:r>
      <w:r>
        <w:fldChar w:fldCharType="separate"/>
      </w:r>
      <w:r>
        <w:rPr>
          <w:rStyle w:val="14"/>
          <w:rFonts w:cs="Times New Roman"/>
        </w:rPr>
        <w:t>https://promo.fomin-clinic.ru/tver/100-besplatnih-kvo</w:t>
      </w:r>
      <w:r>
        <w:rPr>
          <w:rStyle w:val="14"/>
          <w:rFonts w:cs="Times New Roman"/>
        </w:rPr>
        <w:fldChar w:fldCharType="end"/>
      </w:r>
      <w:r>
        <w:rPr>
          <w:rStyle w:val="14"/>
          <w:rFonts w:hint="default" w:cs="Times New Roman"/>
          <w:lang w:val="en-US"/>
        </w:rPr>
        <w:t>.</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s="Times New Roman"/>
          <w:b/>
          <w:bCs/>
          <w:lang w:val="en-US"/>
        </w:rPr>
      </w:pPr>
      <w:r>
        <w:rPr>
          <w:rFonts w:hint="default" w:cs="Times New Roman"/>
          <w:b/>
          <w:bCs/>
          <w:lang w:val="en-US"/>
        </w:rPr>
        <w:t>About Tashir MEDICA</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b/>
          <w:bCs/>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s="Times New Roman"/>
          <w:b w:val="0"/>
          <w:bCs w:val="0"/>
          <w:lang w:val="en-US"/>
        </w:rPr>
      </w:pPr>
      <w:r>
        <w:rPr>
          <w:rFonts w:hint="default" w:cs="Times New Roman"/>
          <w:b w:val="0"/>
          <w:bCs w:val="0"/>
          <w:lang w:val="en-US"/>
        </w:rPr>
        <w:t>Tashir MEDICA is an investment holding company specializing in funding and developing health care assets.</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s="Times New Roman"/>
          <w:lang w:val="en-US"/>
        </w:rPr>
      </w:pPr>
      <w:r>
        <w:rPr>
          <w:rFonts w:hint="default" w:cs="Times New Roman"/>
          <w:lang w:val="en-US"/>
        </w:rPr>
        <w:t>Currently, Tashir MEDICA’s portfolio includes over 15 companies in various areas of medicine with extensive expertise in construction, distribution, digitization and services. Tashir MEDICA invests in services for patients and infrastructure for service providers, promoting new effective patient-centric and science-based models. Its priority areas include diagnostics, preventive health care, outpatient services and digital medicine.</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s="Times New Roman"/>
          <w:b/>
          <w:bCs/>
          <w:lang w:val="en-US"/>
        </w:rPr>
      </w:pPr>
      <w:r>
        <w:rPr>
          <w:rFonts w:hint="default" w:cs="Times New Roman"/>
          <w:b/>
          <w:bCs/>
          <w:lang w:val="en-US"/>
        </w:rPr>
        <w:t>About Fomin Clinic</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b/>
          <w:bCs/>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r>
        <w:rPr>
          <w:rFonts w:hint="default" w:cs="Times New Roman"/>
          <w:lang w:val="en-US"/>
        </w:rPr>
        <w:t xml:space="preserve">Fomin Clinic is a nationwide network of clinics specializing in gynecology. Its doctors provide a broad range of services, from outpatient care to surgeries. The first clinic opened in Tver in 2011. In 2014, Medical Genomics, a DNA lab, opened. In 2017, Fomin Clinic opened in Kaluga its first clinic outside its home province. This marked the start of </w:t>
      </w:r>
      <w:bookmarkStart w:id="0" w:name="_GoBack"/>
      <w:bookmarkEnd w:id="0"/>
      <w:r>
        <w:rPr>
          <w:rFonts w:hint="default" w:cs="Times New Roman"/>
          <w:lang w:val="en-US"/>
        </w:rPr>
        <w:t>a massive rollout program across Russia: a new clinic and a large hospital in Moscow, medical centers in Saint Petersburg, Belgorod, Penza, Krasnodar and Perm. The company received a major boost in 2018, when it partnered up with TealTech Capital, an investment fund created by Vkusvill founder Andrei Krivenko, Agama owner Yuri Alasheyev and ChemRar CEO Andrei Ivashchenko. At this point, the company has 12 clinics in 10 provinces: Moscow, Saint Petersburg, Tver, Kaluga, Penza, Belgorod, Krasnodar, Ufa, Perm and Voronezh.</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Georgia" w:cs="Times New Roman"/>
        </w:rPr>
      </w:pPr>
      <w:r>
        <w:rPr>
          <w:rFonts w:hint="default" w:ascii="Times New Roman" w:hAnsi="Times New Roman" w:cs="Times New Roman"/>
          <w:b/>
          <w:bCs/>
          <w:lang w:val="en-US"/>
        </w:rPr>
        <w:t>About Tashir Group</w:t>
      </w: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Georgia" w:cs="Times New Roman"/>
        </w:rPr>
      </w:pPr>
    </w:p>
    <w:p>
      <w:pPr>
        <w:keepNext w:val="0"/>
        <w:keepLines w:val="0"/>
        <w:pageBreakBefore w:val="0"/>
        <w:widowControl/>
        <w:kinsoku/>
        <w:wordWrap/>
        <w:overflowPunct/>
        <w:topLinePunct w:val="0"/>
        <w:autoSpaceDE/>
        <w:autoSpaceDN/>
        <w:bidi w:val="0"/>
        <w:adjustRightInd/>
        <w:snapToGrid/>
        <w:spacing w:line="276" w:lineRule="auto"/>
        <w:jc w:val="both"/>
        <w:textAlignment w:val="auto"/>
        <w:rPr>
          <w:rFonts w:cs="Times New Roman"/>
        </w:rPr>
      </w:pPr>
      <w:r>
        <w:rPr>
          <w:rFonts w:hint="default" w:ascii="Times New Roman" w:hAnsi="Times New Roman" w:cs="Times New Roman"/>
          <w:color w:val="auto"/>
          <w:sz w:val="24"/>
          <w:szCs w:val="24"/>
          <w:lang w:val="en-US"/>
        </w:rPr>
        <w:t>Tashir is Russia’s leading group of over 200 industrial and construction companies engaged in diverse activities across various sectors. Since its establishment in 1999, the group has consistently increased its share of Russia’s construction and development market for over two decades, while at the same time successfully expanding into other industries: finance, energy, manufacturing, retail, restaurant business, entertainment and others.</w:t>
      </w:r>
      <w:r>
        <w:rPr>
          <w:rFonts w:cs="Times New Roman"/>
        </w:rPr>
        <w:t xml:space="preserve"> </w:t>
      </w:r>
      <w:r>
        <w:rPr>
          <w:rFonts w:hint="default" w:cs="Times New Roman"/>
          <w:lang w:val="en-US"/>
        </w:rPr>
        <w:t xml:space="preserve">The group is listed among Russia’s Top 100 companies. It employs over 45,000 workers and operates in </w:t>
      </w:r>
      <w:r>
        <w:rPr>
          <w:rFonts w:cs="Times New Roman"/>
        </w:rPr>
        <w:t xml:space="preserve">51 </w:t>
      </w:r>
      <w:r>
        <w:rPr>
          <w:rFonts w:hint="default" w:cs="Times New Roman"/>
          <w:lang w:val="en-US"/>
        </w:rPr>
        <w:t xml:space="preserve">cities in Russia and neighboring </w:t>
      </w:r>
      <w:r>
        <w:rPr>
          <w:rFonts w:hint="default" w:ascii="Times New Roman" w:hAnsi="Times New Roman" w:cs="Times New Roman"/>
          <w:lang w:val="en-US"/>
        </w:rPr>
        <w:t xml:space="preserve">countries. </w:t>
      </w:r>
      <w:r>
        <w:rPr>
          <w:rFonts w:hint="default" w:ascii="Times New Roman" w:hAnsi="Times New Roman" w:cs="Times New Roman"/>
          <w:color w:val="00000A"/>
          <w:sz w:val="24"/>
          <w:szCs w:val="24"/>
          <w:lang w:val="en-US"/>
        </w:rPr>
        <w:t>Samvel Karapetyan is the founder and President of Tashir. The company’s headquarters are in Moscow.</w:t>
      </w:r>
    </w:p>
    <w:p>
      <w:pPr>
        <w:spacing w:line="276" w:lineRule="auto"/>
        <w:jc w:val="both"/>
        <w:rPr>
          <w:rFonts w:ascii="Georgia" w:hAnsi="Georgia" w:eastAsia="Georgia" w:cs="Georgia"/>
        </w:rPr>
      </w:pPr>
    </w:p>
    <w:p>
      <w:pPr>
        <w:spacing w:line="276" w:lineRule="auto"/>
        <w:jc w:val="both"/>
        <w:rPr>
          <w:rFonts w:ascii="Georgia" w:hAnsi="Georgia" w:eastAsia="Georgia" w:cs="Georgia"/>
        </w:rPr>
      </w:pPr>
    </w:p>
    <w:p>
      <w:pPr>
        <w:pStyle w:val="7"/>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Georgia" w:hAnsi="Georgia" w:cs="Georgia"/>
          <w:b/>
          <w:sz w:val="24"/>
          <w:szCs w:val="24"/>
          <w:lang w:val="en-US"/>
        </w:rPr>
      </w:pPr>
      <w:r>
        <w:rPr>
          <w:rFonts w:hint="default" w:ascii="Georgia" w:hAnsi="Georgia" w:cs="Georgia"/>
          <w:b/>
          <w:sz w:val="24"/>
          <w:szCs w:val="24"/>
          <w:lang w:val="en-US"/>
        </w:rPr>
        <w:t>Contact Us</w:t>
      </w:r>
    </w:p>
    <w:p>
      <w:pPr>
        <w:pStyle w:val="7"/>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Georgia" w:hAnsi="Georgia" w:cs="Georgia"/>
          <w:b/>
          <w:sz w:val="24"/>
          <w:szCs w:val="24"/>
          <w:lang w:val="en-US"/>
        </w:rPr>
      </w:pPr>
    </w:p>
    <w:p>
      <w:pPr>
        <w:pStyle w:val="7"/>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Fonts w:hint="default" w:ascii="Georgia" w:hAnsi="Georgia" w:cs="Georgia"/>
          <w:b w:val="0"/>
          <w:bCs/>
          <w:i/>
          <w:iCs/>
          <w:sz w:val="24"/>
          <w:szCs w:val="24"/>
          <w:lang w:val="en-US"/>
        </w:rPr>
      </w:pPr>
      <w:r>
        <w:rPr>
          <w:rFonts w:hint="default" w:ascii="Georgia" w:hAnsi="Georgia" w:cs="Georgia"/>
          <w:b w:val="0"/>
          <w:bCs/>
          <w:i/>
          <w:iCs/>
          <w:sz w:val="24"/>
          <w:szCs w:val="24"/>
          <w:lang w:val="en-US"/>
        </w:rPr>
        <w:t>For more information, please contact the Tashir Group Corporate Communications Department</w:t>
      </w:r>
    </w:p>
    <w:p>
      <w:pPr>
        <w:pStyle w:val="7"/>
        <w:keepNext w:val="0"/>
        <w:keepLines w:val="0"/>
        <w:pageBreakBefore w:val="0"/>
        <w:widowControl w:val="0"/>
        <w:kinsoku/>
        <w:wordWrap/>
        <w:overflowPunct/>
        <w:topLinePunct w:val="0"/>
        <w:autoSpaceDE w:val="0"/>
        <w:autoSpaceDN w:val="0"/>
        <w:bidi w:val="0"/>
        <w:adjustRightInd/>
        <w:snapToGrid/>
        <w:spacing w:line="276" w:lineRule="auto"/>
        <w:ind w:right="144"/>
        <w:jc w:val="both"/>
        <w:textAlignment w:val="auto"/>
        <w:rPr>
          <w:rStyle w:val="14"/>
          <w:rFonts w:hint="default" w:ascii="Georgia" w:hAnsi="Georgia" w:cs="Georgia"/>
          <w:sz w:val="24"/>
          <w:szCs w:val="24"/>
          <w:lang w:val="en-US"/>
        </w:rPr>
      </w:pPr>
      <w:r>
        <w:rPr>
          <w:rFonts w:hint="default" w:ascii="Georgia" w:hAnsi="Georgia" w:cs="Georgia" w:eastAsiaTheme="minorEastAsia"/>
          <w:color w:val="31859C" w:themeColor="accent5" w:themeShade="BF"/>
          <w:sz w:val="24"/>
          <w:szCs w:val="24"/>
          <w:lang w:val="en-US"/>
        </w:rPr>
        <w:t xml:space="preserve">+7 495 989 28 32| e-mail: </w:t>
      </w:r>
      <w:r>
        <w:rPr>
          <w:rStyle w:val="14"/>
          <w:rFonts w:hint="default" w:ascii="Georgia" w:hAnsi="Georgia" w:cs="Georgia"/>
          <w:sz w:val="24"/>
          <w:szCs w:val="24"/>
          <w:lang w:val="en-US"/>
        </w:rPr>
        <w:fldChar w:fldCharType="begin"/>
      </w:r>
      <w:r>
        <w:rPr>
          <w:rStyle w:val="14"/>
          <w:rFonts w:hint="default" w:ascii="Georgia" w:hAnsi="Georgia" w:cs="Georgia"/>
          <w:sz w:val="24"/>
          <w:szCs w:val="24"/>
          <w:lang w:val="en-US"/>
        </w:rPr>
        <w:instrText xml:space="preserve"> HYPERLINK "mailto:press@tashir.ru" </w:instrText>
      </w:r>
      <w:r>
        <w:rPr>
          <w:rStyle w:val="14"/>
          <w:rFonts w:hint="default" w:ascii="Georgia" w:hAnsi="Georgia" w:cs="Georgia"/>
          <w:sz w:val="24"/>
          <w:szCs w:val="24"/>
          <w:lang w:val="en-US"/>
        </w:rPr>
        <w:fldChar w:fldCharType="separate"/>
      </w:r>
      <w:r>
        <w:rPr>
          <w:rStyle w:val="14"/>
          <w:rFonts w:hint="default" w:ascii="Georgia" w:hAnsi="Georgia" w:cs="Georgia"/>
          <w:sz w:val="24"/>
          <w:szCs w:val="24"/>
          <w:lang w:val="en-US"/>
        </w:rPr>
        <w:t>press@tashir.ru</w:t>
      </w:r>
      <w:r>
        <w:rPr>
          <w:rStyle w:val="14"/>
          <w:rFonts w:hint="default" w:ascii="Georgia" w:hAnsi="Georgia" w:cs="Georgia"/>
          <w:sz w:val="24"/>
          <w:szCs w:val="24"/>
          <w:lang w:val="en-US"/>
        </w:rPr>
        <w:fldChar w:fldCharType="end"/>
      </w:r>
    </w:p>
    <w:p>
      <w:pPr>
        <w:spacing w:line="276" w:lineRule="auto"/>
        <w:jc w:val="both"/>
      </w:pPr>
      <w:r>
        <w:rPr>
          <w:rFonts w:hint="default" w:ascii="Georgia" w:hAnsi="Georgia" w:cs="Georgia" w:eastAsiaTheme="minorEastAsia"/>
          <w:color w:val="31859C" w:themeColor="accent5" w:themeShade="BF"/>
          <w:sz w:val="24"/>
          <w:szCs w:val="24"/>
          <w:lang w:val="en-US"/>
        </w:rPr>
        <w:t>13/5 Podkolokolny Lane, Moscow</w:t>
      </w:r>
    </w:p>
    <w:sectPr>
      <w:headerReference r:id="rId5" w:type="first"/>
      <w:headerReference r:id="rId3" w:type="default"/>
      <w:footerReference r:id="rId6" w:type="default"/>
      <w:headerReference r:id="rId4" w:type="even"/>
      <w:pgSz w:w="11900" w:h="16840"/>
      <w:pgMar w:top="250" w:right="1469" w:bottom="1418" w:left="1440" w:header="902" w:footer="4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2000503000000020004"/>
    <w:charset w:val="00"/>
    <w:family w:val="auto"/>
    <w:pitch w:val="default"/>
    <w:sig w:usb0="00000000" w:usb1="00000000" w:usb2="00000010" w:usb3="00000000" w:csb0="00000001" w:csb1="00000000"/>
  </w:font>
  <w:font w:name="Georgia">
    <w:panose1 w:val="02040502050405020303"/>
    <w:charset w:val="00"/>
    <w:family w:val="roman"/>
    <w:pitch w:val="default"/>
    <w:sig w:usb0="00000287" w:usb1="00000000" w:usb2="00000000" w:usb3="00000000" w:csb0="2000009F" w:csb1="00000000"/>
  </w:font>
  <w:font w:name="Lucida Grande CY">
    <w:altName w:val="Segoe UI"/>
    <w:panose1 w:val="020B0600040502020204"/>
    <w:charset w:val="59"/>
    <w:family w:val="auto"/>
    <w:pitch w:val="default"/>
    <w:sig w:usb0="00000000" w:usb1="00000000" w:usb2="00000000" w:usb3="00000000" w:csb0="000001B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right" w:pos="8971"/>
        <w:tab w:val="clear" w:pos="9355"/>
      </w:tabs>
      <w:jc w:val="center"/>
      <w:rPr>
        <w:rFonts w:ascii="Arial" w:hAnsi="Arial" w:eastAsia="Arial" w:cs="Arial"/>
        <w:sz w:val="16"/>
        <w:szCs w:val="16"/>
      </w:rPr>
    </w:pPr>
  </w:p>
  <w:p>
    <w:pPr>
      <w:pStyle w:val="12"/>
      <w:tabs>
        <w:tab w:val="left" w:pos="218"/>
        <w:tab w:val="center" w:pos="4498"/>
        <w:tab w:val="right" w:pos="8971"/>
        <w:tab w:val="clear" w:pos="9355"/>
      </w:tabs>
    </w:pPr>
    <w:r>
      <w:rPr>
        <w:rFonts w:ascii="Arial" w:hAnsi="Arial" w:eastAsia="Arial" w:cs="Arial"/>
        <w:sz w:val="16"/>
        <w:szCs w:val="16"/>
      </w:rPr>
      <w:tab/>
    </w:r>
    <w:r>
      <w:rPr>
        <w:rFonts w:ascii="Arial" w:hAnsi="Arial" w:eastAsia="Arial" w:cs="Arial"/>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jc w:val="both"/>
      <w:rPr>
        <w:lang w:val="en-US"/>
      </w:rPr>
    </w:pPr>
  </w:p>
  <w:p>
    <w:pPr>
      <w:pBdr>
        <w:top w:val="none" w:color="auto" w:sz="0" w:space="0"/>
        <w:left w:val="none" w:color="auto" w:sz="0" w:space="0"/>
        <w:bottom w:val="none" w:color="auto" w:sz="0" w:space="0"/>
        <w:right w:val="none" w:color="auto" w:sz="0" w:space="0"/>
        <w:between w:val="none" w:color="auto" w:sz="0" w:space="0"/>
      </w:pBdr>
      <w:jc w:val="both"/>
      <w:rPr>
        <w:color w:val="1F497D"/>
        <w:u w:color="1F497D"/>
      </w:rPr>
    </w:pPr>
  </w:p>
  <w:p>
    <w:pPr>
      <w:pBdr>
        <w:top w:val="none" w:color="auto" w:sz="0" w:space="0"/>
        <w:left w:val="none" w:color="auto" w:sz="0" w:space="0"/>
        <w:bottom w:val="none" w:color="auto" w:sz="0" w:space="0"/>
        <w:right w:val="none" w:color="auto" w:sz="0" w:space="0"/>
        <w:between w:val="none" w:color="auto" w:sz="0" w:space="0"/>
      </w:pBdr>
      <w:jc w:val="both"/>
      <w:rPr>
        <w:lang w:val="en-US"/>
      </w:rPr>
    </w:pPr>
  </w:p>
  <w:p>
    <w:pPr>
      <w:pBdr>
        <w:top w:val="none" w:color="auto" w:sz="0" w:space="0"/>
        <w:left w:val="none" w:color="auto" w:sz="0" w:space="0"/>
        <w:bottom w:val="none" w:color="auto" w:sz="0" w:space="0"/>
        <w:right w:val="none" w:color="auto" w:sz="0" w:space="0"/>
        <w:between w:val="none" w:color="auto" w:sz="0" w:space="0"/>
      </w:pBdr>
      <w:jc w:val="right"/>
      <w:rPr>
        <w:i/>
        <w:iCs/>
        <w:color w:val="1F497D"/>
        <w:u w:color="1F497D"/>
      </w:rPr>
    </w:pPr>
    <w:r>
      <w:rPr>
        <w:rFonts w:hint="default"/>
        <w:i/>
        <w:iCs/>
        <w:color w:val="1F497D"/>
        <w:u w:color="1F497D"/>
        <w:lang w:val="en-US"/>
      </w:rPr>
      <w:t>External communications department</w:t>
    </w:r>
  </w:p>
  <w:p>
    <w:pPr>
      <w:pBdr>
        <w:bottom w:val="single" w:color="auto" w:sz="4" w:space="1"/>
      </w:pBdr>
      <w:jc w:val="both"/>
    </w:pPr>
  </w:p>
  <w:p>
    <w:pPr>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lang w:val="en-US"/>
      </w:rPr>
      <w:drawing>
        <wp:inline distT="0" distB="0" distL="0" distR="0">
          <wp:extent cx="2047875" cy="306070"/>
          <wp:effectExtent l="0" t="0" r="0" b="0"/>
          <wp:docPr id="1073741825" name="officeArt object"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Рисунок 3"/>
                  <pic:cNvPicPr>
                    <a:picLocks noChangeAspect="1"/>
                  </pic:cNvPicPr>
                </pic:nvPicPr>
                <pic:blipFill>
                  <a:blip r:embed="rId1"/>
                  <a:stretch>
                    <a:fillRect/>
                  </a:stretch>
                </pic:blipFill>
                <pic:spPr>
                  <a:xfrm>
                    <a:off x="0" y="0"/>
                    <a:ext cx="2047875" cy="306071"/>
                  </a:xfrm>
                  <a:prstGeom prst="rect">
                    <a:avLst/>
                  </a:prstGeom>
                  <a:ln w="12700" cap="flat">
                    <a:noFill/>
                    <a:miter lim="400000"/>
                    <a:headEnd/>
                    <a:tailEnd/>
                  </a:ln>
                  <a:effectLst/>
                </pic:spPr>
              </pic:pic>
            </a:graphicData>
          </a:graphic>
        </wp:inline>
      </w:drawing>
    </w:r>
  </w:p>
  <w:p>
    <w:pPr>
      <w:jc w:val="both"/>
    </w:pPr>
  </w:p>
  <w:p>
    <w:pPr>
      <w:jc w:val="both"/>
      <w:rPr>
        <w:color w:val="1F497D"/>
        <w:u w:color="1F497D"/>
      </w:rPr>
    </w:pPr>
  </w:p>
  <w:p>
    <w:pPr>
      <w:pBdr>
        <w:bottom w:val="single" w:color="000000" w:sz="12" w:space="0"/>
      </w:pBdr>
      <w:jc w:val="both"/>
      <w:rPr>
        <w:lang w:val="en-US"/>
      </w:rPr>
    </w:pPr>
  </w:p>
  <w:p>
    <w:pPr>
      <w:jc w:val="both"/>
      <w:rPr>
        <w:lang w:val="en-US"/>
      </w:rPr>
    </w:pPr>
  </w:p>
  <w:p>
    <w:pPr>
      <w:wordWrap w:val="0"/>
      <w:jc w:val="right"/>
      <w:rPr>
        <w:rFonts w:hint="default"/>
        <w:i/>
        <w:iCs/>
        <w:lang w:val="en-US"/>
      </w:rPr>
    </w:pPr>
    <w:r>
      <w:rPr>
        <w:rFonts w:hint="default"/>
        <w:i/>
        <w:iCs/>
        <w:color w:val="1F497D"/>
        <w:u w:color="1F497D"/>
        <w:lang w:val="en-US"/>
      </w:rPr>
      <w:t>External communications department</w:t>
    </w:r>
  </w:p>
  <w:p>
    <w:pPr>
      <w:pStyle w:val="13"/>
      <w:tabs>
        <w:tab w:val="right" w:pos="8971"/>
        <w:tab w:val="clear" w:pos="9355"/>
      </w:tabs>
      <w:ind w:left="4677" w:hanging="467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4"/>
    <w:rsid w:val="0001145A"/>
    <w:rsid w:val="00042E2F"/>
    <w:rsid w:val="00047089"/>
    <w:rsid w:val="00056E89"/>
    <w:rsid w:val="00080ACD"/>
    <w:rsid w:val="00091CB4"/>
    <w:rsid w:val="000D36F6"/>
    <w:rsid w:val="000D496E"/>
    <w:rsid w:val="0010062A"/>
    <w:rsid w:val="00127EC0"/>
    <w:rsid w:val="001302C7"/>
    <w:rsid w:val="00154E30"/>
    <w:rsid w:val="0019396E"/>
    <w:rsid w:val="00195AFE"/>
    <w:rsid w:val="001B3EB5"/>
    <w:rsid w:val="001C49B6"/>
    <w:rsid w:val="001C55A6"/>
    <w:rsid w:val="001D180D"/>
    <w:rsid w:val="001D769B"/>
    <w:rsid w:val="001F2720"/>
    <w:rsid w:val="00234224"/>
    <w:rsid w:val="00236F4F"/>
    <w:rsid w:val="00242435"/>
    <w:rsid w:val="002463A4"/>
    <w:rsid w:val="00247FD5"/>
    <w:rsid w:val="00250ED6"/>
    <w:rsid w:val="002775FC"/>
    <w:rsid w:val="00280FEA"/>
    <w:rsid w:val="002C3E8D"/>
    <w:rsid w:val="002D156A"/>
    <w:rsid w:val="002E1F87"/>
    <w:rsid w:val="003137AE"/>
    <w:rsid w:val="003151F5"/>
    <w:rsid w:val="0037307D"/>
    <w:rsid w:val="003B1271"/>
    <w:rsid w:val="003B34C6"/>
    <w:rsid w:val="003D0FA5"/>
    <w:rsid w:val="003F276B"/>
    <w:rsid w:val="00406097"/>
    <w:rsid w:val="00421C8D"/>
    <w:rsid w:val="00422440"/>
    <w:rsid w:val="0042764E"/>
    <w:rsid w:val="0044442A"/>
    <w:rsid w:val="00454447"/>
    <w:rsid w:val="00466227"/>
    <w:rsid w:val="00472CBB"/>
    <w:rsid w:val="00475C36"/>
    <w:rsid w:val="0048632E"/>
    <w:rsid w:val="004B362D"/>
    <w:rsid w:val="004E04E7"/>
    <w:rsid w:val="004E2045"/>
    <w:rsid w:val="00554D8C"/>
    <w:rsid w:val="00564092"/>
    <w:rsid w:val="00584BAD"/>
    <w:rsid w:val="005B0B60"/>
    <w:rsid w:val="005B3981"/>
    <w:rsid w:val="005D2185"/>
    <w:rsid w:val="005D554D"/>
    <w:rsid w:val="005F1F72"/>
    <w:rsid w:val="005F39BB"/>
    <w:rsid w:val="005F78BB"/>
    <w:rsid w:val="006012C3"/>
    <w:rsid w:val="0060685B"/>
    <w:rsid w:val="006115D3"/>
    <w:rsid w:val="00621A60"/>
    <w:rsid w:val="00645682"/>
    <w:rsid w:val="006662F7"/>
    <w:rsid w:val="00677C5E"/>
    <w:rsid w:val="00691C32"/>
    <w:rsid w:val="006A2D66"/>
    <w:rsid w:val="006A4CC7"/>
    <w:rsid w:val="006A7CE8"/>
    <w:rsid w:val="006C00B4"/>
    <w:rsid w:val="006C5BD1"/>
    <w:rsid w:val="006F4299"/>
    <w:rsid w:val="00735D53"/>
    <w:rsid w:val="0076747E"/>
    <w:rsid w:val="00774657"/>
    <w:rsid w:val="00791341"/>
    <w:rsid w:val="007A79BC"/>
    <w:rsid w:val="007F6964"/>
    <w:rsid w:val="00802709"/>
    <w:rsid w:val="008063C6"/>
    <w:rsid w:val="0083105A"/>
    <w:rsid w:val="00843ECA"/>
    <w:rsid w:val="00884F2D"/>
    <w:rsid w:val="008B000F"/>
    <w:rsid w:val="008C1B5C"/>
    <w:rsid w:val="008D65CB"/>
    <w:rsid w:val="008E0F20"/>
    <w:rsid w:val="00900938"/>
    <w:rsid w:val="009036DB"/>
    <w:rsid w:val="009045AA"/>
    <w:rsid w:val="009167FB"/>
    <w:rsid w:val="00937A4C"/>
    <w:rsid w:val="00960F89"/>
    <w:rsid w:val="009709A1"/>
    <w:rsid w:val="00977F2F"/>
    <w:rsid w:val="0099486C"/>
    <w:rsid w:val="009A5960"/>
    <w:rsid w:val="009D0B4B"/>
    <w:rsid w:val="009E6731"/>
    <w:rsid w:val="00A051F1"/>
    <w:rsid w:val="00A1742B"/>
    <w:rsid w:val="00A304A7"/>
    <w:rsid w:val="00A315F3"/>
    <w:rsid w:val="00A4076F"/>
    <w:rsid w:val="00A432D6"/>
    <w:rsid w:val="00A5012B"/>
    <w:rsid w:val="00A62C1C"/>
    <w:rsid w:val="00A64C6B"/>
    <w:rsid w:val="00A82F26"/>
    <w:rsid w:val="00A91608"/>
    <w:rsid w:val="00A918C7"/>
    <w:rsid w:val="00AC4DB1"/>
    <w:rsid w:val="00AC6853"/>
    <w:rsid w:val="00AD1071"/>
    <w:rsid w:val="00AD6A93"/>
    <w:rsid w:val="00AD7788"/>
    <w:rsid w:val="00AE5ED1"/>
    <w:rsid w:val="00B110CE"/>
    <w:rsid w:val="00B13D8C"/>
    <w:rsid w:val="00B426D6"/>
    <w:rsid w:val="00B463F5"/>
    <w:rsid w:val="00B5340A"/>
    <w:rsid w:val="00B958CE"/>
    <w:rsid w:val="00BB0E0B"/>
    <w:rsid w:val="00BC3FF6"/>
    <w:rsid w:val="00BD2B28"/>
    <w:rsid w:val="00C02FEF"/>
    <w:rsid w:val="00C0795A"/>
    <w:rsid w:val="00C205A9"/>
    <w:rsid w:val="00C359BC"/>
    <w:rsid w:val="00C56E39"/>
    <w:rsid w:val="00C62738"/>
    <w:rsid w:val="00C653C4"/>
    <w:rsid w:val="00C76495"/>
    <w:rsid w:val="00C93BBE"/>
    <w:rsid w:val="00CA3A38"/>
    <w:rsid w:val="00CA508B"/>
    <w:rsid w:val="00CD1A5F"/>
    <w:rsid w:val="00CF6349"/>
    <w:rsid w:val="00D1105C"/>
    <w:rsid w:val="00D54016"/>
    <w:rsid w:val="00D605CA"/>
    <w:rsid w:val="00D659BC"/>
    <w:rsid w:val="00DA666B"/>
    <w:rsid w:val="00DF6864"/>
    <w:rsid w:val="00DF714C"/>
    <w:rsid w:val="00E06021"/>
    <w:rsid w:val="00E175C1"/>
    <w:rsid w:val="00E808C8"/>
    <w:rsid w:val="00E8507F"/>
    <w:rsid w:val="00E852E2"/>
    <w:rsid w:val="00E900F2"/>
    <w:rsid w:val="00F00B54"/>
    <w:rsid w:val="00F040A3"/>
    <w:rsid w:val="00F04F31"/>
    <w:rsid w:val="00F16D33"/>
    <w:rsid w:val="00F23095"/>
    <w:rsid w:val="00F25CA6"/>
    <w:rsid w:val="00F433AD"/>
    <w:rsid w:val="00F5492D"/>
    <w:rsid w:val="00F57350"/>
    <w:rsid w:val="00F75901"/>
    <w:rsid w:val="00F970D6"/>
    <w:rsid w:val="00FD2CC2"/>
    <w:rsid w:val="2BE6270D"/>
    <w:rsid w:val="40337FFA"/>
    <w:rsid w:val="6E1F2804"/>
    <w:rsid w:val="6E6C3A96"/>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ru-RU" w:eastAsia="ru-RU"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345B8A" w:themeColor="accent1" w:themeShade="B5"/>
      <w:sz w:val="32"/>
      <w:szCs w:val="32"/>
    </w:rPr>
  </w:style>
  <w:style w:type="paragraph" w:styleId="3">
    <w:name w:val="heading 2"/>
    <w:basedOn w:val="1"/>
    <w:next w:val="1"/>
    <w:link w:val="26"/>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0"/>
    <w:semiHidden/>
    <w:unhideWhenUsed/>
    <w:uiPriority w:val="99"/>
    <w:rPr>
      <w:rFonts w:ascii="Lucida Grande CY" w:hAnsi="Lucida Grande CY" w:cs="Lucida Grande CY"/>
      <w:sz w:val="18"/>
      <w:szCs w:val="18"/>
    </w:rPr>
  </w:style>
  <w:style w:type="paragraph" w:styleId="7">
    <w:name w:val="Body Text"/>
    <w:basedOn w:val="1"/>
    <w:qFormat/>
    <w:uiPriority w:val="1"/>
    <w:pPr>
      <w:widowControl w:val="0"/>
      <w:autoSpaceDE w:val="0"/>
      <w:autoSpaceDN w:val="0"/>
    </w:pPr>
    <w:rPr>
      <w:rFonts w:ascii="Georgia" w:hAnsi="Georgia" w:eastAsia="Georgia" w:cs="Georgia"/>
      <w:lang w:bidi="ru-RU"/>
    </w:rPr>
  </w:style>
  <w:style w:type="character" w:styleId="8">
    <w:name w:val="annotation reference"/>
    <w:basedOn w:val="4"/>
    <w:semiHidden/>
    <w:unhideWhenUsed/>
    <w:uiPriority w:val="99"/>
    <w:rPr>
      <w:sz w:val="16"/>
      <w:szCs w:val="16"/>
    </w:rPr>
  </w:style>
  <w:style w:type="paragraph" w:styleId="9">
    <w:name w:val="annotation text"/>
    <w:basedOn w:val="1"/>
    <w:link w:val="23"/>
    <w:semiHidden/>
    <w:unhideWhenUsed/>
    <w:uiPriority w:val="99"/>
    <w:rPr>
      <w:sz w:val="20"/>
      <w:szCs w:val="20"/>
    </w:rPr>
  </w:style>
  <w:style w:type="paragraph" w:styleId="10">
    <w:name w:val="annotation subject"/>
    <w:basedOn w:val="9"/>
    <w:next w:val="9"/>
    <w:link w:val="24"/>
    <w:semiHidden/>
    <w:unhideWhenUsed/>
    <w:uiPriority w:val="99"/>
    <w:rPr>
      <w:b/>
      <w:bCs/>
    </w:rPr>
  </w:style>
  <w:style w:type="character" w:styleId="11">
    <w:name w:val="FollowedHyperlink"/>
    <w:basedOn w:val="4"/>
    <w:semiHidden/>
    <w:unhideWhenUsed/>
    <w:uiPriority w:val="99"/>
    <w:rPr>
      <w:color w:val="FF00FF" w:themeColor="followedHyperlink"/>
      <w:u w:val="single"/>
      <w14:textFill>
        <w14:solidFill>
          <w14:schemeClr w14:val="folHlink"/>
        </w14:solidFill>
      </w14:textFill>
    </w:rPr>
  </w:style>
  <w:style w:type="paragraph" w:styleId="12">
    <w:name w:val="footer"/>
    <w:uiPriority w:val="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pPr>
    <w:rPr>
      <w:rFonts w:ascii="Times New Roman" w:hAnsi="Times New Roman" w:eastAsia="Times New Roman" w:cs="Times New Roman"/>
      <w:color w:val="000000"/>
      <w:sz w:val="24"/>
      <w:szCs w:val="24"/>
      <w:u w:color="000000"/>
      <w:lang w:val="ru-RU" w:eastAsia="ru-RU" w:bidi="ar-SA"/>
    </w:rPr>
  </w:style>
  <w:style w:type="paragraph" w:styleId="13">
    <w:name w:val="header"/>
    <w:uiPriority w:val="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pPr>
    <w:rPr>
      <w:rFonts w:ascii="Times New Roman" w:hAnsi="Times New Roman" w:eastAsia="Times New Roman" w:cs="Times New Roman"/>
      <w:color w:val="000000"/>
      <w:sz w:val="24"/>
      <w:szCs w:val="24"/>
      <w:u w:color="000000"/>
      <w:lang w:val="ru-RU" w:eastAsia="ru-RU" w:bidi="ar-SA"/>
    </w:rPr>
  </w:style>
  <w:style w:type="character" w:styleId="14">
    <w:name w:val="Hyperlink"/>
    <w:uiPriority w:val="0"/>
    <w:rPr>
      <w:u w:val="single"/>
    </w:rPr>
  </w:style>
  <w:style w:type="paragraph" w:styleId="15">
    <w:name w:val="Normal (Web)"/>
    <w:basedOn w:val="1"/>
    <w:semiHidden/>
    <w:unhideWhenUsed/>
    <w:uiPriority w:val="99"/>
    <w:rPr>
      <w:rFonts w:cs="Times New Roman"/>
    </w:rPr>
  </w:style>
  <w:style w:type="table" w:customStyle="1" w:styleId="16">
    <w:name w:val="Table Normal1"/>
    <w:uiPriority w:val="0"/>
    <w:tblPr>
      <w:tblCellMar>
        <w:top w:w="0" w:type="dxa"/>
        <w:left w:w="0" w:type="dxa"/>
        <w:bottom w:w="0" w:type="dxa"/>
        <w:right w:w="0" w:type="dxa"/>
      </w:tblCellMar>
    </w:tblPr>
  </w:style>
  <w:style w:type="paragraph" w:customStyle="1" w:styleId="17">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ru-RU" w:eastAsia="ru-RU" w:bidi="ar-SA"/>
    </w:rPr>
  </w:style>
  <w:style w:type="character" w:customStyle="1" w:styleId="18">
    <w:name w:val="Ссылка"/>
    <w:uiPriority w:val="0"/>
    <w:rPr>
      <w:color w:val="0000FF"/>
      <w:u w:val="single" w:color="0000FF"/>
    </w:rPr>
  </w:style>
  <w:style w:type="character" w:customStyle="1" w:styleId="19">
    <w:name w:val="Hyperlink.0"/>
    <w:basedOn w:val="18"/>
    <w:uiPriority w:val="0"/>
    <w:rPr>
      <w:rFonts w:ascii="Georgia" w:hAnsi="Georgia" w:eastAsia="Georgia" w:cs="Georgia"/>
      <w:color w:val="0000FF"/>
      <w:u w:val="single" w:color="0000FF"/>
      <w:lang w:val="en-US"/>
    </w:rPr>
  </w:style>
  <w:style w:type="character" w:customStyle="1" w:styleId="20">
    <w:name w:val="Текст выноски Знак"/>
    <w:basedOn w:val="4"/>
    <w:link w:val="6"/>
    <w:semiHidden/>
    <w:uiPriority w:val="99"/>
    <w:rPr>
      <w:rFonts w:ascii="Lucida Grande CY" w:hAnsi="Lucida Grande CY" w:cs="Lucida Grande CY"/>
      <w:color w:val="000000"/>
      <w:sz w:val="18"/>
      <w:szCs w:val="18"/>
      <w:u w:color="000000"/>
    </w:rPr>
  </w:style>
  <w:style w:type="paragraph" w:styleId="21">
    <w:name w:val="List Paragraph"/>
    <w:basedOn w:val="1"/>
    <w:qFormat/>
    <w:uiPriority w:val="34"/>
    <w:pPr>
      <w:pBdr>
        <w:top w:val="none" w:color="auto" w:sz="0" w:space="0"/>
        <w:left w:val="none" w:color="auto" w:sz="0" w:space="0"/>
        <w:bottom w:val="none" w:color="auto" w:sz="0" w:space="0"/>
        <w:right w:val="none" w:color="auto" w:sz="0" w:space="0"/>
        <w:between w:val="none" w:color="auto" w:sz="0" w:space="0"/>
      </w:pBdr>
      <w:ind w:left="720"/>
      <w:contextualSpacing/>
    </w:pPr>
    <w:rPr>
      <w:rFonts w:asciiTheme="minorHAnsi" w:hAnsiTheme="minorHAnsi" w:eastAsiaTheme="minorEastAsia" w:cstheme="minorBidi"/>
      <w:color w:val="auto"/>
    </w:rPr>
  </w:style>
  <w:style w:type="character" w:customStyle="1" w:styleId="22">
    <w:name w:val="Заголовок 1 Знак"/>
    <w:basedOn w:val="4"/>
    <w:link w:val="2"/>
    <w:uiPriority w:val="9"/>
    <w:rPr>
      <w:rFonts w:asciiTheme="majorHAnsi" w:hAnsiTheme="majorHAnsi" w:eastAsiaTheme="majorEastAsia" w:cstheme="majorBidi"/>
      <w:b/>
      <w:bCs/>
      <w:color w:val="345B8A" w:themeColor="accent1" w:themeShade="B5"/>
      <w:sz w:val="32"/>
      <w:szCs w:val="32"/>
      <w:u w:color="000000"/>
    </w:rPr>
  </w:style>
  <w:style w:type="character" w:customStyle="1" w:styleId="23">
    <w:name w:val="Текст примечания Знак"/>
    <w:basedOn w:val="4"/>
    <w:link w:val="9"/>
    <w:semiHidden/>
    <w:uiPriority w:val="99"/>
    <w:rPr>
      <w:rFonts w:cs="Arial Unicode MS"/>
      <w:color w:val="000000"/>
      <w:u w:color="000000"/>
    </w:rPr>
  </w:style>
  <w:style w:type="character" w:customStyle="1" w:styleId="24">
    <w:name w:val="Тема примечания Знак"/>
    <w:basedOn w:val="23"/>
    <w:link w:val="10"/>
    <w:semiHidden/>
    <w:uiPriority w:val="99"/>
    <w:rPr>
      <w:rFonts w:cs="Arial Unicode MS"/>
      <w:b/>
      <w:bCs/>
      <w:color w:val="000000"/>
      <w:u w:color="000000"/>
    </w:rPr>
  </w:style>
  <w:style w:type="paragraph" w:customStyle="1" w:styleId="25">
    <w:name w:val="Revision"/>
    <w:hidden/>
    <w:semiHidden/>
    <w:uiPriority w:val="99"/>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ru-RU" w:eastAsia="ru-RU" w:bidi="ar-SA"/>
    </w:rPr>
  </w:style>
  <w:style w:type="character" w:customStyle="1" w:styleId="26">
    <w:name w:val="Заголовок 2 Знак"/>
    <w:basedOn w:val="4"/>
    <w:link w:val="3"/>
    <w:uiPriority w:val="9"/>
    <w:rPr>
      <w:rFonts w:asciiTheme="majorHAnsi" w:hAnsiTheme="majorHAnsi" w:eastAsiaTheme="majorEastAsia" w:cstheme="majorBidi"/>
      <w:b/>
      <w:bCs/>
      <w:color w:val="4F81BD" w:themeColor="accent1"/>
      <w:sz w:val="26"/>
      <w:szCs w:val="26"/>
      <w:u w:color="000000"/>
      <w14:textFill>
        <w14:solidFill>
          <w14:schemeClr w14:val="accent1"/>
        </w14:solidFill>
      </w14:textFill>
    </w:rPr>
  </w:style>
  <w:style w:type="character" w:customStyle="1" w:styleId="27">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D267D-CFC2-7C4D-9B4D-0289676420B8}">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3</Pages>
  <Words>550</Words>
  <Characters>3977</Characters>
  <Lines>101</Lines>
  <Paragraphs>29</Paragraphs>
  <TotalTime>6</TotalTime>
  <ScaleCrop>false</ScaleCrop>
  <LinksUpToDate>false</LinksUpToDate>
  <CharactersWithSpaces>4498</CharactersWithSpaces>
  <Application>WPS Office_11.2.0.10094_F1E327BC-269C-435d-A152-05C5408002CA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2021-07-15T11:29:00Z</dcterms:created>
  <dc:creator>Аджемян Зара Арменовна</dc:creator>
  <cp:lastModifiedBy>Vladimir Demidov</cp:lastModifiedBy>
  <cp:lastPrinted>2021-04-19T20:14:00Z</cp:lastPrinted>
  <dcterms:modified xsi:type="dcterms:W3CDTF">2021-07-16T07:48:56Z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